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31B35" w:rsidRPr="00631B35" w:rsidRDefault="00631B35" w:rsidP="00631B35"/>
    <w:p w:rsidR="002850E0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7B6172" w:rsidRPr="007B6172">
        <w:rPr>
          <w:rFonts w:ascii="Arial" w:hAnsi="Arial" w:cs="Arial"/>
          <w:b/>
          <w:sz w:val="22"/>
        </w:rPr>
        <w:t xml:space="preserve">umestitvi podhoda na železniški postaji Šentjur </w:t>
      </w:r>
    </w:p>
    <w:p w:rsidR="009E65E1" w:rsidRDefault="009E65E1" w:rsidP="000C1E09">
      <w:pPr>
        <w:jc w:val="center"/>
        <w:rPr>
          <w:rFonts w:ascii="Arial" w:hAnsi="Arial" w:cs="Arial"/>
        </w:rPr>
      </w:pPr>
    </w:p>
    <w:p w:rsidR="00631B35" w:rsidRDefault="00631B35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7B6172" w:rsidRPr="007B6172">
        <w:rPr>
          <w:rFonts w:ascii="Arial" w:hAnsi="Arial" w:cs="Arial"/>
        </w:rPr>
        <w:t>umestitvi podhoda na železniški postaji Šentjur</w:t>
      </w:r>
      <w:r w:rsidR="009C5E62" w:rsidRPr="00CE0B41">
        <w:rPr>
          <w:rFonts w:ascii="Arial" w:hAnsi="Arial" w:cs="Arial"/>
        </w:rPr>
        <w:t>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 xml:space="preserve">radnjo </w:t>
      </w:r>
      <w:r w:rsidRPr="00D74B43">
        <w:rPr>
          <w:rFonts w:ascii="Arial" w:hAnsi="Arial" w:cs="Arial"/>
        </w:rPr>
        <w:t xml:space="preserve">peronov,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tirnih naprav, 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notranjo in zunanjo u</w:t>
      </w:r>
      <w:r w:rsidRPr="00D74B43">
        <w:rPr>
          <w:rFonts w:ascii="Arial" w:hAnsi="Arial" w:cs="Arial"/>
        </w:rPr>
        <w:t xml:space="preserve">reditev postajnega poslopja,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</w:t>
      </w:r>
      <w:proofErr w:type="spellStart"/>
      <w:r w:rsidRPr="00D74B43">
        <w:rPr>
          <w:rFonts w:ascii="Arial" w:hAnsi="Arial" w:cs="Arial"/>
        </w:rPr>
        <w:t>izvennivojskega</w:t>
      </w:r>
      <w:proofErr w:type="spellEnd"/>
      <w:r w:rsidRPr="00D74B43">
        <w:rPr>
          <w:rFonts w:ascii="Arial" w:hAnsi="Arial" w:cs="Arial"/>
        </w:rPr>
        <w:t xml:space="preserve"> dostopa na peronsko infrastrukturo </w:t>
      </w:r>
      <w:r w:rsidR="00C1288B">
        <w:rPr>
          <w:rFonts w:ascii="Arial" w:hAnsi="Arial" w:cs="Arial"/>
        </w:rPr>
        <w:t>–</w:t>
      </w:r>
      <w:r w:rsidRPr="00D74B43">
        <w:rPr>
          <w:rFonts w:ascii="Arial" w:hAnsi="Arial" w:cs="Arial"/>
        </w:rPr>
        <w:t xml:space="preserve"> podhod,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ureditev nadstreškov,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EE in </w:t>
      </w:r>
      <w:proofErr w:type="gramStart"/>
      <w:r w:rsidRPr="00D74B43">
        <w:rPr>
          <w:rFonts w:ascii="Arial" w:hAnsi="Arial" w:cs="Arial"/>
        </w:rPr>
        <w:t>SVTK naprav</w:t>
      </w:r>
      <w:proofErr w:type="gramEnd"/>
      <w:r w:rsidRPr="00D74B43">
        <w:rPr>
          <w:rFonts w:ascii="Arial" w:hAnsi="Arial" w:cs="Arial"/>
        </w:rPr>
        <w:t>,</w:t>
      </w:r>
    </w:p>
    <w:p w:rsidR="002176D7" w:rsidRPr="00686901" w:rsidRDefault="00C1288B" w:rsidP="00686901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</w:t>
      </w:r>
      <w:r w:rsidR="002176D7" w:rsidRPr="00D74B43">
        <w:rPr>
          <w:rFonts w:ascii="Arial" w:hAnsi="Arial" w:cs="Arial"/>
        </w:rPr>
        <w:t xml:space="preserve"> parkirišča</w:t>
      </w:r>
      <w:r w:rsidR="002176D7" w:rsidRPr="00686901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lastRenderedPageBreak/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ov s 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loženimi CE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 xml:space="preserve">enem območju železniške postaje </w:t>
      </w:r>
      <w:r w:rsidR="00631B35">
        <w:rPr>
          <w:rFonts w:ascii="Arial" w:hAnsi="Arial" w:cs="Arial"/>
        </w:rPr>
        <w:t>Šentjur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631B35">
        <w:rPr>
          <w:rFonts w:ascii="Arial" w:hAnsi="Arial" w:cs="Arial"/>
        </w:rPr>
        <w:t>umestitev</w:t>
      </w:r>
      <w:r w:rsidR="00686901" w:rsidRPr="007B6172">
        <w:rPr>
          <w:rFonts w:ascii="Arial" w:hAnsi="Arial" w:cs="Arial"/>
        </w:rPr>
        <w:t xml:space="preserve"> podhoda na železniški postaji Šentjur</w:t>
      </w:r>
      <w:bookmarkStart w:id="0" w:name="_GoBack"/>
      <w:bookmarkEnd w:id="0"/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281271" w:rsidRPr="00281271" w:rsidRDefault="009C5E62" w:rsidP="009C5E62">
      <w:pPr>
        <w:jc w:val="both"/>
        <w:rPr>
          <w:rFonts w:ascii="Arial" w:hAnsi="Arial" w:cs="Arial"/>
        </w:rPr>
      </w:pPr>
      <w:r w:rsidRPr="00281271">
        <w:rPr>
          <w:rFonts w:ascii="Arial" w:hAnsi="Arial" w:cs="Arial"/>
        </w:rPr>
        <w:t>Rok o</w:t>
      </w:r>
      <w:r w:rsidR="00FD3E1D" w:rsidRPr="00281271">
        <w:rPr>
          <w:rFonts w:ascii="Arial" w:hAnsi="Arial" w:cs="Arial"/>
        </w:rPr>
        <w:t>dd</w:t>
      </w:r>
      <w:r w:rsidRPr="00281271">
        <w:rPr>
          <w:rFonts w:ascii="Arial" w:hAnsi="Arial" w:cs="Arial"/>
        </w:rPr>
        <w:t xml:space="preserve">aje vseh poročil je 3 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ni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 izve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bo tehničnega pregle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 za posamezen objekt, za katerega se poročila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ajajo.</w:t>
      </w:r>
    </w:p>
    <w:p w:rsidR="00281271" w:rsidRPr="00281271" w:rsidRDefault="00281271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C371B3">
        <w:rPr>
          <w:rFonts w:ascii="Arial" w:hAnsi="Arial" w:cs="Arial"/>
        </w:rPr>
        <w:t xml:space="preserve">Rok dokončanja vseh del </w:t>
      </w:r>
      <w:r w:rsidR="00BC65F1">
        <w:rPr>
          <w:rFonts w:ascii="Arial" w:hAnsi="Arial" w:cs="Arial"/>
        </w:rPr>
        <w:t xml:space="preserve">za izvedbo zunanje kontrole </w:t>
      </w:r>
      <w:r w:rsidRPr="00C371B3">
        <w:rPr>
          <w:rFonts w:ascii="Arial" w:hAnsi="Arial" w:cs="Arial"/>
        </w:rPr>
        <w:t xml:space="preserve">je </w:t>
      </w:r>
      <w:r w:rsidRPr="006A1EB5">
        <w:rPr>
          <w:rFonts w:ascii="Arial" w:hAnsi="Arial" w:cs="Arial"/>
          <w:b/>
        </w:rPr>
        <w:t>14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5A" w:rsidRDefault="0077565A" w:rsidP="00A65B72">
      <w:r>
        <w:separator/>
      </w:r>
    </w:p>
  </w:endnote>
  <w:endnote w:type="continuationSeparator" w:id="0">
    <w:p w:rsidR="0077565A" w:rsidRDefault="0077565A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35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5A" w:rsidRDefault="0077565A" w:rsidP="00A65B72">
      <w:r>
        <w:separator/>
      </w:r>
    </w:p>
  </w:footnote>
  <w:footnote w:type="continuationSeparator" w:id="0">
    <w:p w:rsidR="0077565A" w:rsidRDefault="0077565A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1B35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565A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6F8A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6655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09E2-9FD4-4133-AFC2-968CF7D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Sara Resnik</cp:lastModifiedBy>
  <cp:revision>3</cp:revision>
  <dcterms:created xsi:type="dcterms:W3CDTF">2022-02-18T08:27:00Z</dcterms:created>
  <dcterms:modified xsi:type="dcterms:W3CDTF">2022-02-18T08:28:00Z</dcterms:modified>
</cp:coreProperties>
</file>